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8F" w:rsidRPr="003B5C8F" w:rsidRDefault="003B5C8F" w:rsidP="003B5C8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</w:pPr>
      <w:r w:rsidRPr="003B5C8F"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  <w:t>Приказ Министерства спорта Российской Федерации (</w:t>
      </w:r>
      <w:proofErr w:type="spellStart"/>
      <w:r w:rsidRPr="003B5C8F"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  <w:t>Минспорт</w:t>
      </w:r>
      <w:proofErr w:type="spellEnd"/>
      <w:r w:rsidRPr="003B5C8F">
        <w:rPr>
          <w:rFonts w:ascii="Arial" w:eastAsia="Times New Roman" w:hAnsi="Arial" w:cs="Arial"/>
          <w:color w:val="373737"/>
          <w:kern w:val="36"/>
          <w:sz w:val="72"/>
          <w:szCs w:val="72"/>
          <w:lang w:eastAsia="ru-RU"/>
        </w:rPr>
        <w:t xml:space="preserve"> России) от 29 августа 2014 г. N 739 г. Москва</w:t>
      </w:r>
    </w:p>
    <w:p w:rsidR="003B5C8F" w:rsidRPr="003B5C8F" w:rsidRDefault="003B5C8F" w:rsidP="003B5C8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39"/>
          <w:szCs w:val="39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9"/>
          <w:szCs w:val="39"/>
          <w:lang w:eastAsia="ru-RU"/>
        </w:rPr>
        <w:t>"Об утверждении Порядка организации и проведения тестирования населения в рамках Всероссийского физкультурно-спортивного комплекса "Готов к труду и обороне" (ГТО)"</w:t>
      </w:r>
      <w:r w:rsidRPr="003B5C8F">
        <w:rPr>
          <w:rFonts w:ascii="Arial" w:eastAsia="Times New Roman" w:hAnsi="Arial" w:cs="Arial"/>
          <w:color w:val="373737"/>
          <w:sz w:val="39"/>
          <w:lang w:eastAsia="ru-RU"/>
        </w:rPr>
        <w:t> </w:t>
      </w:r>
      <w:hyperlink r:id="rId4" w:anchor="comments" w:history="1">
        <w:r w:rsidRPr="003B5C8F">
          <w:rPr>
            <w:rFonts w:ascii="Arial" w:eastAsia="Times New Roman" w:hAnsi="Arial" w:cs="Arial"/>
            <w:color w:val="FFFFFF"/>
            <w:sz w:val="19"/>
            <w:lang w:eastAsia="ru-RU"/>
          </w:rPr>
          <w:t>0</w:t>
        </w:r>
      </w:hyperlink>
    </w:p>
    <w:p w:rsidR="003B5C8F" w:rsidRPr="003B5C8F" w:rsidRDefault="003B5C8F" w:rsidP="003B5C8F">
      <w:pPr>
        <w:shd w:val="clear" w:color="auto" w:fill="FFFFFF"/>
        <w:spacing w:after="103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 w:rsidRPr="003B5C8F">
        <w:rPr>
          <w:rFonts w:ascii="Arial" w:eastAsia="Times New Roman" w:hAnsi="Arial" w:cs="Arial"/>
          <w:color w:val="B5B5B5"/>
          <w:sz w:val="25"/>
          <w:szCs w:val="25"/>
          <w:lang w:eastAsia="ru-RU"/>
        </w:rPr>
        <w:t>Работа с документами:</w:t>
      </w:r>
    </w:p>
    <w:p w:rsidR="003B5C8F" w:rsidRPr="003B5C8F" w:rsidRDefault="003B5C8F" w:rsidP="003B5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hyperlink r:id="rId5" w:history="1">
        <w:r>
          <w:rPr>
            <w:rFonts w:ascii="Arial" w:eastAsia="Times New Roman" w:hAnsi="Arial" w:cs="Arial"/>
            <w:noProof/>
            <w:color w:val="8D2929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30810" cy="130810"/>
              <wp:effectExtent l="19050" t="0" r="2540" b="0"/>
              <wp:docPr id="1" name="Рисунок 1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810" cy="130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B5C8F">
          <w:rPr>
            <w:rFonts w:ascii="Arial" w:eastAsia="Times New Roman" w:hAnsi="Arial" w:cs="Arial"/>
            <w:color w:val="8D2929"/>
            <w:sz w:val="21"/>
            <w:u w:val="single"/>
            <w:lang w:eastAsia="ru-RU"/>
          </w:rPr>
          <w:t xml:space="preserve">Сохранить в формате MS </w:t>
        </w:r>
        <w:proofErr w:type="spellStart"/>
        <w:r w:rsidRPr="003B5C8F">
          <w:rPr>
            <w:rFonts w:ascii="Arial" w:eastAsia="Times New Roman" w:hAnsi="Arial" w:cs="Arial"/>
            <w:color w:val="8D2929"/>
            <w:sz w:val="21"/>
            <w:u w:val="single"/>
            <w:lang w:eastAsia="ru-RU"/>
          </w:rPr>
          <w:t>Word</w:t>
        </w:r>
        <w:proofErr w:type="spellEnd"/>
      </w:hyperlink>
      <w:r w:rsidRPr="003B5C8F">
        <w:rPr>
          <w:rFonts w:ascii="Arial" w:eastAsia="Times New Roman" w:hAnsi="Arial" w:cs="Arial"/>
          <w:color w:val="B5B5B5"/>
          <w:sz w:val="25"/>
          <w:szCs w:val="25"/>
          <w:lang w:eastAsia="ru-RU"/>
        </w:rPr>
        <w:br/>
      </w:r>
      <w:hyperlink r:id="rId7" w:history="1">
        <w:r>
          <w:rPr>
            <w:rFonts w:ascii="Arial" w:eastAsia="Times New Roman" w:hAnsi="Arial" w:cs="Arial"/>
            <w:noProof/>
            <w:color w:val="8D2929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>
              <wp:extent cx="130810" cy="130810"/>
              <wp:effectExtent l="19050" t="0" r="2540" b="0"/>
              <wp:docPr id="2" name="Рисунок 2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810" cy="130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3B5C8F">
          <w:rPr>
            <w:rFonts w:ascii="Arial" w:eastAsia="Times New Roman" w:hAnsi="Arial" w:cs="Arial"/>
            <w:color w:val="8D2929"/>
            <w:sz w:val="21"/>
            <w:u w:val="single"/>
            <w:lang w:eastAsia="ru-RU"/>
          </w:rPr>
          <w:t>Версия для печати</w:t>
        </w:r>
      </w:hyperlink>
    </w:p>
    <w:p w:rsidR="003B5C8F" w:rsidRPr="003B5C8F" w:rsidRDefault="003B5C8F" w:rsidP="003B5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3" name="Рисунок 3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4" name="Рисунок 4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5" name="Рисунок 5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>
        <w:rPr>
          <w:rFonts w:ascii="Arial" w:eastAsia="Times New Roman" w:hAnsi="Arial" w:cs="Arial"/>
          <w:noProof/>
          <w:color w:val="8D2929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30810" cy="130810"/>
            <wp:effectExtent l="19050" t="0" r="2540" b="0"/>
            <wp:docPr id="6" name="Рисунок 6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C8F" w:rsidRPr="003B5C8F" w:rsidRDefault="003B5C8F" w:rsidP="003B5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</w:p>
    <w:p w:rsidR="003B5C8F" w:rsidRPr="003B5C8F" w:rsidRDefault="003B5C8F" w:rsidP="003B5C8F">
      <w:pPr>
        <w:shd w:val="clear" w:color="auto" w:fill="FFFFFF"/>
        <w:spacing w:after="103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r w:rsidRPr="003B5C8F">
        <w:rPr>
          <w:rFonts w:ascii="Arial" w:eastAsia="Times New Roman" w:hAnsi="Arial" w:cs="Arial"/>
          <w:color w:val="B5B5B5"/>
          <w:sz w:val="25"/>
          <w:szCs w:val="25"/>
          <w:lang w:eastAsia="ru-RU"/>
        </w:rPr>
        <w:t>Дополнительно:</w:t>
      </w:r>
    </w:p>
    <w:p w:rsidR="003B5C8F" w:rsidRPr="003B5C8F" w:rsidRDefault="003B5C8F" w:rsidP="003B5C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25"/>
          <w:szCs w:val="25"/>
          <w:lang w:eastAsia="ru-RU"/>
        </w:rPr>
      </w:pPr>
      <w:hyperlink r:id="rId17" w:anchor="maincomments" w:history="1">
        <w:r w:rsidRPr="003B5C8F">
          <w:rPr>
            <w:rFonts w:ascii="Arial" w:eastAsia="Times New Roman" w:hAnsi="Arial" w:cs="Arial"/>
            <w:color w:val="8D2929"/>
            <w:sz w:val="21"/>
            <w:u w:val="single"/>
            <w:lang w:eastAsia="ru-RU"/>
          </w:rPr>
          <w:t>Комментарии РГ</w:t>
        </w:r>
      </w:hyperlink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 </w:t>
      </w:r>
      <w:r w:rsidRPr="003B5C8F">
        <w:rPr>
          <w:rFonts w:ascii="Arial" w:eastAsia="Times New Roman" w:hAnsi="Arial" w:cs="Arial"/>
          <w:color w:val="B5B5B5"/>
          <w:sz w:val="25"/>
          <w:szCs w:val="25"/>
          <w:lang w:eastAsia="ru-RU"/>
        </w:rPr>
        <w:t>#</w:t>
      </w:r>
    </w:p>
    <w:p w:rsidR="003B5C8F" w:rsidRPr="003B5C8F" w:rsidRDefault="003B5C8F" w:rsidP="003B5C8F">
      <w:pPr>
        <w:shd w:val="clear" w:color="auto" w:fill="FFFFFF"/>
        <w:spacing w:after="0" w:line="329" w:lineRule="atLeast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Опубликовано:</w:t>
      </w:r>
      <w:r w:rsidRPr="003B5C8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3B5C8F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24 декабря 2014 г. в</w:t>
      </w:r>
      <w:r w:rsidRPr="003B5C8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hyperlink r:id="rId18" w:history="1">
        <w:r w:rsidRPr="003B5C8F">
          <w:rPr>
            <w:rFonts w:ascii="Arial" w:eastAsia="Times New Roman" w:hAnsi="Arial" w:cs="Arial"/>
            <w:color w:val="344A64"/>
            <w:sz w:val="23"/>
            <w:u w:val="single"/>
            <w:lang w:eastAsia="ru-RU"/>
          </w:rPr>
          <w:t>"РГ" - Федеральный выпуск №6565</w:t>
        </w:r>
        <w:proofErr w:type="gramStart"/>
      </w:hyperlink>
      <w:r w:rsidRPr="003B5C8F">
        <w:rPr>
          <w:rFonts w:ascii="Arial" w:eastAsia="Times New Roman" w:hAnsi="Arial" w:cs="Arial"/>
          <w:color w:val="373737"/>
          <w:sz w:val="23"/>
          <w:lang w:eastAsia="ru-RU"/>
        </w:rPr>
        <w:t> </w:t>
      </w:r>
      <w:r w:rsidRPr="003B5C8F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В</w:t>
      </w:r>
      <w:proofErr w:type="gramEnd"/>
      <w:r w:rsidRPr="003B5C8F">
        <w:rPr>
          <w:rFonts w:ascii="Arial" w:eastAsia="Times New Roman" w:hAnsi="Arial" w:cs="Arial"/>
          <w:color w:val="B5B5B5"/>
          <w:sz w:val="25"/>
          <w:lang w:eastAsia="ru-RU"/>
        </w:rPr>
        <w:t>ступает в силу:</w:t>
      </w:r>
      <w:r w:rsidRPr="003B5C8F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 января 2015 г.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Зарегистрирован в Минюсте РФ 2 декабря 2014 г.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Регистрационный N 35050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Во исполнение пункта 18 Положения о Всероссийском физкультурно-спортивном комплексе "Готов к труду и обороне" (ГТО)", утвержденного постановлением Правительства Российской Федерации от 11 июня 2014 г. N 540 (Собрание законодательства Российской Федерации, 2014, N 25, ст. 3309) и пункта 14 плана мероприятий по поэтапному внедрению Всероссийского физкультурно-спортивного комплекса "Готов к труду и обороне" (ГТО), утвержденного распоряжением Правительства Российской Федерации от 30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июня 2014 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г. N 1165-р (Собрание законодательства Российской Федерации, 2014, N 27, ст. 3835),</w:t>
      </w: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приказываю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1. Утвердить прилагаемый Порядок организации и проведения тестирования населения в рамках Всероссийского физкультурно-спортивного комплекса "Готов к труду и обороне" (ГТО).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Контроль за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исполнением настоящего приказа оставляю за собой.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Министр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 xml:space="preserve">В. </w:t>
      </w:r>
      <w:proofErr w:type="spellStart"/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Мутко</w:t>
      </w:r>
      <w:proofErr w:type="spellEnd"/>
    </w:p>
    <w:p w:rsidR="003B5C8F" w:rsidRPr="003B5C8F" w:rsidRDefault="003B5C8F" w:rsidP="003B5C8F">
      <w:pPr>
        <w:shd w:val="clear" w:color="auto" w:fill="FFFFFF"/>
        <w:spacing w:before="206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5"/>
          <w:szCs w:val="25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25"/>
          <w:szCs w:val="25"/>
          <w:lang w:eastAsia="ru-RU"/>
        </w:rPr>
        <w:t>Порядок организации и проведения тестирования населения в рамках Всероссийского физкультурно-спортивного комплекса "Готов к труду и обороне" (ГТО)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I. Общие положения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1.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Порядок организации и проведения тестирования населения в рамках Всероссийского физкультурно-спортивного комплекса "Готов к труду и обороне" (ГТО) (далее - Порядок) разработан в соответствии с Указом Президента Российской Федерации от 24 марта 2014 г. N 172 "О Всероссийском физкультурно-спортивном комплексе "Готов к труду и обороне" (ГТО)" (Собрание законодательства Российской Федерации, 2014, N 13, ст. 1452), пунктом 18 Положения о Всероссийском физкультурно-спортивном комплексе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"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Готов к труду и обороне" (ГТО), утвержденного постановлением Правительства Российской Федерации от 11 июня 2014 г. N 540 (Собрание законодательства Российской Федерации, 2014, N 25, ст. 3309) и пунктом 14 плана мероприятий по поэтапному внедрению Всероссийского физкультурно-спортивного комплекса "Готов к труду и обороне" (ГТО), утвержденного распоряжением Правительства Российской Федерации от 30 июня 2014 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г. N 1165-р (Собрание законодательства Российской Федерации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,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2014, N 27, ст. 3835).</w:t>
      </w:r>
      <w:proofErr w:type="gramEnd"/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Порядок определяет последовательность организации и проведения тестирования населения 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(ГТО), утвержденных приказом Министерства спорта Российской Федерации от 8 июля 2014 г. N 575 (зарегистрирован Министерством юстиции Российской Федерации 29 июля 2014 г., регистрационный N 33345) (далее - государственные требования) в рамках Всероссийского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физкультурно-спортивного комплекса "Готов к труду и обороне" (ГТО).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3. Организация и проведение тестирования населения в рамках Всероссийского физкультурно-спортивного комплекса "Готов к труду и обороне" (ГТО) (далее - тестирование, комплекс) осуществляется центрами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- центр тестирования).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II. Организация тестирования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4.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Лицо, желающее пройти тестирование (далее - участник), направляет в центр тестирования заявку на прохождение тестирования (далее - заявка) лично, по почте, либо по электронной почте.</w:t>
      </w:r>
      <w:proofErr w:type="gramEnd"/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5. В заявке, подаваемой впервые, указывается: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фамилия, имя, отчество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пол;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- дата рождения;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данные документа, удостоверяющего личность гражданина Российской Федерации;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для лиц, не достигших возраста четырнадцати лет - данные свидетельства о рождении;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адрес места жительства;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контактный телефон, адрес электронной почты;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основное место учебы, работы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спортивное звание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почетное спортивное звание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спортивный разряд с указанием вида спорта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перечень выбранных видов испытаний (тестов);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согласие на обработку персональных данных.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К заявке прилагаются две фотографии размером 3x4 см (на бумажном либо электронном носителе).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 случае изъявления желания несовершеннолетним пройти тестирование, заявка подается его законными представителями.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6. Центр тестирования принимает заявки и формирует единый список участников. Допускается прием коллективных заявок, при выполнении условий указанных в пункте 5 настоящего Порядка.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7. Центр тестирования составляет график проведения тестирования, который размещает на сайте </w:t>
      </w:r>
      <w:proofErr w:type="spell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www.minsport.gov.ru</w:t>
      </w:r>
      <w:proofErr w:type="spell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федерального органа исполнительной власти Российской Федерации в 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области физической культуры и спорта в информационно-телекоммуникационной сети "Интернет" (далее - сайт) каждую четвертую неделю месяца.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8. Центр тестирования размещает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сайте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за 14 дней до дня проведения тестирования адресный перечень мест тестирования с указанием видов испытаний (тестов) соответствующих месту проведения тестирования.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9.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Центр тестирования в день проведения тестирования допускает участников к прохождению тестирования при наличии документа удостоверяющего личность гражданина Российской Федерации, для лиц, не достигших четырнадцати лет - свидетельства о рождении, либо их копий, а также медицинского заключения о допуске к занятиям физической культурой и спортом (в том числе и массовым спортом), спортивным соревнованиям*, выданного по результатам медицинского осмотра (обследования), проведенного в соответствии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с приказом Министерства здравоохранения и социального развития Российской Федерации от 9 августа 2010 г. N 613н "Об утверждении порядка оказания медицинской помощи при проведении физкультурных и спортивных мероприятий" (зарегистрирован Министерством юстиции Российской Федерации 14 сентября 2010 г., регистрационный N 18428).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После допуска участника к прохождению тестирования центр тестирования регистрирует участника, присваивает ему номер и выдает заверенную центром тестирования учетную карточку для учета выполнения государственных требований.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Учетная карточка для учета выполнения государственных требований содержит: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- фотографию участника размером 3x4 см;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фамилию, имя, отчество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пол;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дату рождения;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отметку о наличии медицинского заключения;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ступень структуры комплекса и возрастную группу, в которых участник проходит тестирование;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виды испытаний (тестов), которые участник сдает согласно государственным требованиям к соответствующей ступени структуры комплекса;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результаты выполненных испытаний (тестов), заверенных подписью судьи с указанием номера и даты протокола выполнения государственных требований;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сведения о награждении знаком отличия комплекса;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сведения о наличии спортивного разряда (при наличии).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Учетная карточка для учета выполнения государственных требований является постоянной.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Ведение учетной карточки для учета выполнения государственных требований осуществляется центром тестирования в бумажном и электронном виде.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 случае утери участником учетной карточки для учета выполнения государственных требований центр тестирования выдает ее дубликат.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10. Участник не допускается к прохождению тестирования в следующих случаях: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- непредставления документов, указанных в пункте 9 настоящего Порядка;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ухудшения его физического состояния до начала или в момент выполнения нормативов комплекса.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11. При прохождении участником очередного тестирования в заявке указываются только фамилия, имя, отчество (при наличии), номер участника и выбранные для выполнения виды испытаний (тестов).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График очередного тестирования определяется центром тестирования и размещается на сайте в срок не позднее 14 дней до начала тестирования.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12. Для получения допуска к прохождению очередного тестирования участник представляет в центр тестирования учетную карточку для учета выполнения государственных требований и медицинское заключение.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13. В случае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,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если участник не прошел тестирование, он имеет право пройти повторное тестирование, график которого определяется центром тестирования и размещается на сайте в срок, определяемый центром тестирования.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14. Центр тестирования обеспечивает условия для организации оказания медицинской помощи при проведении тестирования.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b/>
          <w:bCs/>
          <w:color w:val="373737"/>
          <w:sz w:val="31"/>
          <w:szCs w:val="31"/>
          <w:lang w:eastAsia="ru-RU"/>
        </w:rPr>
        <w:t>III. Проведение тестирования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15. Тестирование включает: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а) тестирование по видам испытаний (тестов), позволяющих определить уровень развития физических качеств и прикладных двигательных умений и навыков с целью выполнения нормативов, позволяющих 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человека, установленных государственными требованиями;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б) оценку уровня знаний и умений в области физической культуры и спорта в соответствии с государственными требованиями.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16. В целях реализации участниками своих физических возможностей, тестирование по видам испытаний (тестов) проводится в последовательности, установленной настоящим Порядком.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Для подготовки к выполнению каждого вида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Последовательность проведения тестирования по видам испытаний (тестов) заключается в необходимости начать тестирование с наименее </w:t>
      </w:r>
      <w:proofErr w:type="spell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энергозатратных</w:t>
      </w:r>
      <w:proofErr w:type="spell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видов испытаний (тестов) и предоставлении участникам достаточного периода отдыха между выполнением нормативов, установленных государственными требованиями.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17.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по видам испытаний (тестов) для оценки: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гибкости;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координационных способностей;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- силы;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скоростных возможностей;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скоростно-силовых возможностей;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прикладных навыков;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выносливости.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18.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Соблюдение участниками последовательности выполнения тестирования, а также соблюдение государственных требований осуществляется спортивным судьей, прошедшим специальную подготовку и получившим соответствующую квалификацию в соответствии с Положением о спортивных судьях, утвержденным приказом Министерства спорта, туризма и молодежной политики Российской Федерации от 27 ноября 2008 г. N 56 (зарегистрирован Министерством юстиции Российской Федерации 19 января 2009 г., регистрационный N 13114).</w:t>
      </w:r>
      <w:proofErr w:type="gramEnd"/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19. После тестирования по каждому виду испытаний (тестов) спортивный судья сообщает участникам их результаты.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Результаты тестирования каждого участника заносятся спортивным судьей в протокол выполнения государственных требований, копия которого размещается на сайте для ознакомления участников.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 протоколе выполнения государственных требований указываются: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название субъекта Российской Федерации, муниципального образования, поселения, в котором проводится тестирование;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- дата проведения тестирования;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фамилия, имя, отчество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пол;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основное место учебы, работы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ступень структуры комплекса и возрастная группа;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вид испытания (теста);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результат выполнения испытания (теста);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выполнение норматива комплекса;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нагрудный номер участника (при наличии);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подпись спортивного судьи.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После внесения результатов тестирования участника в протокол выполнения государственных требований, результаты тестирования участника заносятся в учетную карточку для учета выполнения государственных требований.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20. </w:t>
      </w:r>
      <w:proofErr w:type="gramStart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В целях сбора и учета данных участников, прошедших тестирование, выполнивших нормативы, установленные государственными требованиями и претендующих на награждение соответствующими знаками отличия комплекса, центр тестирования, осуществляющий организацию и проведение тестирования на муниципальном уровне, обобщает данные протоколов выполнения государственных требований в сводный протокол муниципального образования, и направляет его в организацию осуществляющую анализ, обобщение и формирование сводного протокола субъекта Российской Федерации, которая в</w:t>
      </w:r>
      <w:proofErr w:type="gramEnd"/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 xml:space="preserve"> свою очередь, направляет его в организацию осуществляющую анализ, обобщение, формирование </w:t>
      </w: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lastRenderedPageBreak/>
        <w:t>сводного протокола Российской Федерации для представления его в организацию осуществляющую принятие решения о награждении граждан соответствующими знаками отличия комплекса.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Сводный протокол содержит: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название субъекта Российской Федерации, муниципального образования, поселения, адрес и наименование центра тестирования, который проводил тестирование;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год проведения тестирования;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фамилию, имя, отчество (при наличии) участника;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пол;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ступень структуры комплекса и возрастную группу;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- выполнение государственных требований на золотой, серебряный, либо бронзовый знаки отличия комплекса.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21. Протокол выполнения государственных требований является основанием для представления участника к награждению соответствующим знаком отличия комплекса.</w:t>
      </w:r>
    </w:p>
    <w:p w:rsidR="003B5C8F" w:rsidRPr="003B5C8F" w:rsidRDefault="003B5C8F" w:rsidP="003B5C8F">
      <w:pPr>
        <w:shd w:val="clear" w:color="auto" w:fill="FFFFFF"/>
        <w:spacing w:before="240" w:after="240" w:line="411" w:lineRule="atLeast"/>
        <w:ind w:left="1152"/>
        <w:rPr>
          <w:rFonts w:ascii="Arial" w:eastAsia="Times New Roman" w:hAnsi="Arial" w:cs="Arial"/>
          <w:color w:val="373737"/>
          <w:sz w:val="31"/>
          <w:szCs w:val="31"/>
          <w:lang w:eastAsia="ru-RU"/>
        </w:rPr>
      </w:pPr>
      <w:r w:rsidRPr="003B5C8F">
        <w:rPr>
          <w:rFonts w:ascii="Arial" w:eastAsia="Times New Roman" w:hAnsi="Arial" w:cs="Arial"/>
          <w:color w:val="373737"/>
          <w:sz w:val="31"/>
          <w:szCs w:val="31"/>
          <w:lang w:eastAsia="ru-RU"/>
        </w:rPr>
        <w:t>* Далее - медицинское заключение.</w:t>
      </w:r>
    </w:p>
    <w:p w:rsidR="00BE2B48" w:rsidRDefault="00BE2B48"/>
    <w:sectPr w:rsidR="00BE2B48" w:rsidSect="00BE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B5C8F"/>
    <w:rsid w:val="003B5C8F"/>
    <w:rsid w:val="00BE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48"/>
  </w:style>
  <w:style w:type="paragraph" w:styleId="1">
    <w:name w:val="heading 1"/>
    <w:basedOn w:val="a"/>
    <w:link w:val="10"/>
    <w:uiPriority w:val="9"/>
    <w:qFormat/>
    <w:rsid w:val="003B5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5C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B5C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C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5C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5C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C8F"/>
  </w:style>
  <w:style w:type="character" w:styleId="a3">
    <w:name w:val="Hyperlink"/>
    <w:basedOn w:val="a0"/>
    <w:uiPriority w:val="99"/>
    <w:semiHidden/>
    <w:unhideWhenUsed/>
    <w:rsid w:val="003B5C8F"/>
    <w:rPr>
      <w:color w:val="0000FF"/>
      <w:u w:val="single"/>
    </w:rPr>
  </w:style>
  <w:style w:type="character" w:customStyle="1" w:styleId="comments">
    <w:name w:val="comments"/>
    <w:basedOn w:val="a0"/>
    <w:rsid w:val="003B5C8F"/>
  </w:style>
  <w:style w:type="character" w:customStyle="1" w:styleId="tik-text">
    <w:name w:val="tik-text"/>
    <w:basedOn w:val="a0"/>
    <w:rsid w:val="003B5C8F"/>
  </w:style>
  <w:style w:type="paragraph" w:styleId="a4">
    <w:name w:val="Normal (Web)"/>
    <w:basedOn w:val="a"/>
    <w:uiPriority w:val="99"/>
    <w:semiHidden/>
    <w:unhideWhenUsed/>
    <w:rsid w:val="003B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661">
          <w:marLeft w:val="32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48200">
          <w:marLeft w:val="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386">
                      <w:marLeft w:val="0"/>
                      <w:marRight w:val="0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7609">
                      <w:marLeft w:val="0"/>
                      <w:marRight w:val="0"/>
                      <w:marTop w:val="103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14/12/24/gto-dok.html" TargetMode="External"/><Relationship Id="rId18" Type="http://schemas.openxmlformats.org/officeDocument/2006/relationships/hyperlink" Target="http://www.rg.ru/gazeta/rg/2014/12/2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g.ru/printable/2014/12/24/gto-dok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2014/12/24/gto-dok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14/12/24/gto-dok.html" TargetMode="External"/><Relationship Id="rId5" Type="http://schemas.openxmlformats.org/officeDocument/2006/relationships/hyperlink" Target="http://outer.rg.ru/plain/download_doc/?url=2014/12/24/gto-dok.html" TargetMode="External"/><Relationship Id="rId15" Type="http://schemas.openxmlformats.org/officeDocument/2006/relationships/hyperlink" Target="https://m.google.com/app/plus/x/?v=compose&amp;content=http://www.rg.ru/2014/12/24/gto-dok.htm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://www.rg.ru/2014/12/24/gto-dok.html" TargetMode="External"/><Relationship Id="rId9" Type="http://schemas.openxmlformats.org/officeDocument/2006/relationships/hyperlink" Target="http://twitter.com/home?status=http://www.rg.ru/2014/12/24/gto-dok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11420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3</cp:revision>
  <dcterms:created xsi:type="dcterms:W3CDTF">2015-11-10T03:18:00Z</dcterms:created>
  <dcterms:modified xsi:type="dcterms:W3CDTF">2015-11-10T03:18:00Z</dcterms:modified>
</cp:coreProperties>
</file>